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8A" w:rsidRPr="00D95A34" w:rsidRDefault="00605F8A" w:rsidP="00605F8A">
      <w:pPr>
        <w:pStyle w:val="Styl1"/>
        <w:pageBreakBefore/>
        <w:numPr>
          <w:ilvl w:val="0"/>
          <w:numId w:val="0"/>
        </w:numPr>
        <w:ind w:left="425"/>
        <w:rPr>
          <w:lang w:val="pl-PL"/>
        </w:rPr>
      </w:pPr>
      <w:bookmarkStart w:id="0" w:name="_Toc343284238"/>
      <w:r>
        <w:t>Praktyki zawodowe</w:t>
      </w:r>
      <w:bookmarkEnd w:id="0"/>
      <w:r w:rsidR="00906455">
        <w:rPr>
          <w:lang w:val="pl-PL"/>
        </w:rPr>
        <w:t xml:space="preserve"> </w:t>
      </w:r>
      <w:r w:rsidR="00906455">
        <w:rPr>
          <w:lang w:val="pl-PL"/>
        </w:rPr>
        <w:tab/>
        <w:t xml:space="preserve">zawód: technik logistyk </w:t>
      </w:r>
      <w:r w:rsidR="00906455">
        <w:rPr>
          <w:lang w:val="pl-PL"/>
        </w:rPr>
        <w:tab/>
        <w:t>kod zawodu:</w:t>
      </w:r>
      <w:r w:rsidR="00C76277">
        <w:rPr>
          <w:lang w:val="pl-PL"/>
        </w:rPr>
        <w:t xml:space="preserve"> </w:t>
      </w:r>
      <w:bookmarkStart w:id="1" w:name="_GoBack"/>
      <w:bookmarkEnd w:id="1"/>
      <w:r w:rsidR="00687364">
        <w:rPr>
          <w:lang w:val="pl-PL"/>
        </w:rPr>
        <w:t>33107</w:t>
      </w:r>
    </w:p>
    <w:p w:rsidR="00605F8A" w:rsidRPr="00687364" w:rsidRDefault="00687364" w:rsidP="00687364">
      <w:pPr>
        <w:pStyle w:val="Lista"/>
        <w:tabs>
          <w:tab w:val="left" w:pos="851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 </w:t>
      </w:r>
      <w:r w:rsidR="00605F8A" w:rsidRPr="00687364">
        <w:rPr>
          <w:rFonts w:cs="Calibri"/>
          <w:sz w:val="20"/>
        </w:rPr>
        <w:t>1. Bhp, ochrona ppoż., ochrona środowiska i ergonomia na stanowisku logistyka</w:t>
      </w:r>
    </w:p>
    <w:p w:rsidR="00605F8A" w:rsidRDefault="00605F8A" w:rsidP="00605F8A">
      <w:pPr>
        <w:pStyle w:val="Lista"/>
        <w:tabs>
          <w:tab w:val="left" w:pos="851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        2. Podstawy prowadzenia działalności logistycznej</w:t>
      </w:r>
    </w:p>
    <w:p w:rsidR="00605F8A" w:rsidRDefault="00605F8A" w:rsidP="00605F8A">
      <w:pPr>
        <w:pStyle w:val="Lista2"/>
        <w:spacing w:after="0" w:line="240" w:lineRule="auto"/>
        <w:ind w:left="850" w:hanging="493"/>
        <w:rPr>
          <w:rFonts w:cs="Calibri"/>
          <w:sz w:val="20"/>
        </w:rPr>
      </w:pPr>
      <w:r>
        <w:rPr>
          <w:rFonts w:cs="Calibri"/>
          <w:sz w:val="20"/>
        </w:rPr>
        <w:t>3. Procesy transportowe i magazynowe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3260"/>
      </w:tblGrid>
      <w:tr w:rsidR="00605F8A" w:rsidTr="00D95A34">
        <w:trPr>
          <w:trHeight w:val="274"/>
          <w:tblHeader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05F8A" w:rsidRDefault="00605F8A">
            <w:pPr>
              <w:tabs>
                <w:tab w:val="left" w:pos="396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 Bhp, ochrona ppoż., ochrona środowiska i ergonomia na stanowisku logistyka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5F8A" w:rsidRDefault="00605F8A">
            <w:pPr>
              <w:tabs>
                <w:tab w:val="left" w:pos="396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05F8A" w:rsidTr="00D95A34">
        <w:trPr>
          <w:trHeight w:val="7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5F8A" w:rsidRDefault="00605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Uszczegółowione efekty kształcenia</w:t>
            </w:r>
          </w:p>
          <w:p w:rsidR="00605F8A" w:rsidRDefault="00605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Uczeń po zrealizowaniu zajęć potrafi: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5F8A" w:rsidRDefault="00605F8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Materiał nauczania</w:t>
            </w: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BHP(1)4wyjaśnić zasady bhp;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8A" w:rsidRDefault="00605F8A">
            <w:pPr>
              <w:pStyle w:val="lewytabela"/>
              <w:rPr>
                <w:rFonts w:ascii="Calibri" w:hAnsi="Calibri"/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Zasady BHP.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Zasady ochrony przeciwpożarowej.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Zasady ochrony środowiska.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Zasady ergonomii.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Zadania i uprawnienia instytucji.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Instytucje i służby działające w zakresie ochrony pracy.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Instytucje i służby działające w zakresie ochrony środowiska.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Prawa i obowiązki pracownika w zakresie bhp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Prawa i obowiązki pracodawcy w zakresie bhp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Czynniki szkodliwe dla zdrowia występujące w środowisku pracy logistyka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Ergonomia na stanowisku pracy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Środki ochrony indywidualnej i zbiorowej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Przepisy prawa dotyczące bhp</w:t>
            </w:r>
          </w:p>
          <w:p w:rsidR="00605F8A" w:rsidRDefault="00605F8A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Przepisy prawa dotyczące ochrony przeciwpożarowej i ochrony środowiska</w:t>
            </w:r>
          </w:p>
          <w:p w:rsidR="00605F8A" w:rsidRDefault="00605F8A">
            <w:pPr>
              <w:pStyle w:val="lewytabela"/>
              <w:rPr>
                <w:b/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Pierwsza pomoc</w:t>
            </w: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BHP(1)5wyjaśnić zasady ochrony przeciwpożarowej;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BHP(1)6 wyjaśnić zasady ochrony środowiska;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BHP(1)7wyjaśnić zasady ergonomii;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BHP(2)3scharakteryzować zadania i uprawnienia instytucji oraz służb działających w zakresie ochrony pracy;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BHP(2)4scharakteryzować zadania i uprawnienia instytucji oraz służb działających w zakresie ochrony środowiska;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BHP(3)3wskazać prawa i obowiązki pracownika w zakresie bhp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BHP(3)4wskazać prawa i obowiązki pracodawcy w zakresie bhp;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BHP(4)3opisać zagrożenia związane z pracą logistyka;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BHP(4)4dobrać metody zabiegania zagrożeniom związanym z pracą logistyka;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BHP(5)3opisać czynniki szkodliwe dla zdrowia występujące w środowisku pracy logistyka;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BHP(5)4scharakteryzować metody zapobiegania negatywnym skutkom dla zdrowia;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11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BHP(6)3opisać skutki oddziaływania na organizm człowieka szkodliwych czynników;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2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BHP(6)4scharakteryzować metody minimalizowania negatywnych skutków oddziaływania szkodliwych czynników na organizm człowieka;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2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BHP(7)10zorganizować stanowisko pracy logistyka zgodnie z wymogami ergonomii, przepisami bezpieczeństwa i higieny pracy, ochrony przeciwpożarowej i ochrony środowiska;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BHP(7)11ocenić organizację stanowisko pracy logistyka zgodnie z wymogami ergonomii, przepisami bezpieczeństwa i higieny pracy, ochrony przeciwpożarowej i ochrony środowiska;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BHP(8)3opisać rodzaje środków ochrony indywidualnej i zbiorowej;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BHP(8)4dobrać środek ochrony indywidualnej i zbiorowej;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BHP(9)10wskazać przepisy prawa dotyczące bezpieczeństwa i higieny prawa oraz ochrony przeciwpożarowej i ochrony środowiska;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cantSplit/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BHP(9)11ocenić przestrzeganie zasad bezpieczeństwa i higieny pracy oraz stosowania przepisów prawa dotyczących ochrony przeciwpożarowej i ochrony środowiska;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BHP(10)4 opisać metody udzielania pierwszej pomocy;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BHP(10)5 ocenić stan zagrożenia;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05F8A" w:rsidTr="00D95A34">
        <w:trPr>
          <w:trHeight w:val="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A" w:rsidRDefault="00605F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BHP(10)6 udzielić pierwszej pomocy.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A" w:rsidRDefault="00605F8A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:rsidR="00605F8A" w:rsidRDefault="00605F8A" w:rsidP="00605F8A">
      <w:pPr>
        <w:pStyle w:val="Akapitzlist"/>
        <w:spacing w:after="0" w:line="240" w:lineRule="auto"/>
        <w:ind w:left="284"/>
        <w:jc w:val="both"/>
        <w:rPr>
          <w:rFonts w:eastAsia="Times New Roman" w:cs="Calibri"/>
          <w:color w:val="000000"/>
          <w:sz w:val="18"/>
          <w:szCs w:val="18"/>
        </w:rPr>
      </w:pPr>
    </w:p>
    <w:p w:rsidR="00605F8A" w:rsidRPr="00D95A34" w:rsidRDefault="00D95A34" w:rsidP="00D95A34">
      <w:pPr>
        <w:ind w:left="426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  <w:lang w:eastAsia="en-US"/>
        </w:rPr>
        <w:t>2.</w:t>
      </w:r>
      <w:r w:rsidRPr="00D95A34">
        <w:rPr>
          <w:rFonts w:cs="Calibri"/>
          <w:b/>
          <w:sz w:val="18"/>
          <w:szCs w:val="18"/>
          <w:lang w:eastAsia="en-US"/>
        </w:rPr>
        <w:t>Podstawy prowadzenia działalności logistycznej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3260"/>
      </w:tblGrid>
      <w:tr w:rsidR="00D95A34" w:rsidTr="00D95A34">
        <w:trPr>
          <w:trHeight w:val="6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5A34" w:rsidRDefault="00D95A3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Uszczegółowione efekty kształcenia</w:t>
            </w:r>
          </w:p>
          <w:p w:rsidR="00D95A34" w:rsidRDefault="00D95A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Uczeń po zrealizowaniu zajęć potrafi: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5A34" w:rsidRDefault="00D95A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Materiał nauczania</w:t>
            </w: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PDG(1)3wyjaśnić podstawowe pojęcia związane z gospodarką rynkową;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34" w:rsidRDefault="00D95A34">
            <w:pPr>
              <w:pStyle w:val="lewytabela"/>
              <w:rPr>
                <w:rFonts w:ascii="Calibri" w:hAnsi="Calibri"/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Podstawowe pojęcia związane z gospodarką rynkową.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Regulacje prawne dotyczące ochrony danych osobowych.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Prawo podatkowe.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Formy organizacyjno-prawne działalności gospodarczej.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Łańcuch logistyczny.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Zintegrowany łańcuch dostaw.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Zasady prowadzenia dokumentacji biurowej.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Urządzenia biurowe.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Branżowe programy komputerowe.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Marketing mix.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Ekonomika przedsiębiorstw.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Oprogramowanie komputerowe w pracy biurowej.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Korespondencja służbowa.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Organizacja spotkań służbowych.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Kultura zawodu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Urządzenia techniki biurowej.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t>Przepisy prawa dotyczące tajemnicy służbowej i ochrony danych osobowych.</w:t>
            </w:r>
          </w:p>
          <w:p w:rsidR="00D95A34" w:rsidRDefault="00D95A34">
            <w:pPr>
              <w:pStyle w:val="lewytabela"/>
              <w:rPr>
                <w:bCs w:val="0"/>
                <w:lang w:val="pl-PL" w:eastAsia="en-US"/>
              </w:rPr>
            </w:pPr>
            <w:r>
              <w:rPr>
                <w:lang w:val="pl-PL" w:eastAsia="en-US"/>
              </w:rPr>
              <w:lastRenderedPageBreak/>
              <w:t>Archiwizacja dokumentów.</w:t>
            </w: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PDG(1)4przedstawić prawa rządzące gospodarką rynkową;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PDG(3)3wskazać przepisy dotyczące prowadzenia działalności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PDG(3)4zinterpretować przepisy dotyczące prowadzenia działalności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PGD(4)3 rozróżnić formy organizacyjno-prawne przedsiębiorstw;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PDG(4)4wyjaśnić zależności między instytucjami i przedsiębiorstwami występującymi w branży logistycznej;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PDG(5)4opisać zadania i funkcje przedsiębiorstw działających na rynku logistycznym;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PDG(5)5porównać działalność przedsiębiorstw funkcjonujących w branży logistycznej;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PDG(5)6ocenić pozycję przedsiębiorstw działających w branży;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PDG(6)4przedstawić korzyści wynikające ze współpracy między przedsiębiorstwami;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cantSplit/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PDG(6)5wyszukać informacje o przedsiębiorstwach z branży;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PDG(6)6zaplanować wspólne przedsięwzięcia z różnymi przedsiębiorstwami w branży;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PDG(8)3wskazać rodzaje pism związanych z prowadzeniem działalności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PDG(8)4przestrzegać zasad redagowania korespondencji służbowej;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PDG(9)4wymienić rodzaje urządzeń biurowych pomocnych w prowadzeniu działalności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PDG(9)5skorzystać z urządzeń biurowych;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PDG(9)6skorzystać z programów komputerowych wspomagających prowadzenie działalności;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PDG(10)4 opisać rodzaje działań marketingowych;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PDG(10)5 zoptymalizować koszty i przychody prowadzonej działalności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PDG(11)4rozróżnić rodzaje kosztów i przychodów prowadzonej działalności;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PDG(11)5zanalizować wyniki prowadzonej działalności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PDG(11)6zinterpretować wskaźniki ekonomiczne prowadzonej działalności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PKZ(A.m.)(1)3wyjaśnić  podstawowe pojęcia z zakresu mikroekonomii;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PKZ(A.m.)(3)4przedstawić zasady redagowania pism występujących w korespondencji służbowej;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PKZ(A.m.)(7)4opisać zasady przechowywania dokumentów;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95A34" w:rsidTr="00D95A34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PKZ(A.m.)(7)5zastosować zasady przechowywania dokumentów.</w:t>
            </w:r>
          </w:p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34" w:rsidRDefault="00D95A34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F226D" w:rsidRDefault="00CF226D">
      <w:r>
        <w:rPr>
          <w:rFonts w:ascii="Calibri" w:hAnsi="Calibri" w:cs="Calibri"/>
          <w:b/>
          <w:sz w:val="18"/>
          <w:szCs w:val="18"/>
        </w:rPr>
        <w:t>3.  Procesy transportowe i magazynowe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3260"/>
      </w:tblGrid>
      <w:tr w:rsidR="00CF226D" w:rsidTr="00CF226D">
        <w:trPr>
          <w:trHeight w:val="6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226D" w:rsidRDefault="00CF22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Uszczegółowione efekty kształcenia</w:t>
            </w:r>
          </w:p>
          <w:p w:rsidR="00CF226D" w:rsidRDefault="00CF22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Uczeń po zrealizowaniu zajęć potrafi: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226D" w:rsidRDefault="00CF22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Materiał nauczania</w:t>
            </w: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C2D69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A.30.2(4)1 rozpoznać magazyny;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D" w:rsidRDefault="00CF226D">
            <w:pPr>
              <w:pStyle w:val="lewytabela"/>
              <w:rPr>
                <w:rFonts w:ascii="Calibri" w:hAnsi="Calibri"/>
                <w:lang w:val="pl-PL" w:eastAsia="en-US"/>
              </w:rPr>
            </w:pPr>
            <w:r>
              <w:rPr>
                <w:lang w:val="pl-PL" w:eastAsia="en-US"/>
              </w:rPr>
              <w:t>Budynki i budowle magazynowe.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Podstawowe i uzupełniające usługi magazynowe.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Wyposażenie magazynu podstawowe i pomocnicze.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Rozmieszczanie zapasów w magazynie.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Odpowiedzialność pracowników magazynu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Kanały dystrybucji.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Zasady współpracy w kanale dystrybucji.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Zasady lokalizowania centrum dystrybucji.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Najważniejsze centra dystrybucji w kraju i za granicą.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Dokumenty procesów dystrybucji.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Zasady przepływu dokumentacji.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Zasady sporządzania i przechowywania dokumentacji.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Środki transportu.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Przewozy ładunków specjalnych i niebezpiecznych.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Urządzenia przeładunkowe i manipulacyjne.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Systemy monitorowania i rejestrowania ładunków.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Wykorzystanie map drogowych i szlaków komunikacyjnych, rozkładów jazdy przewozów regularnych.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Zasady doboru środków technicznych do wykonania procesów transportowych.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Międzynarodowe standardy identyfikacji ładunków i wymiany danych.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Oznaczenia przewożonych ładunków.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Regulacje prawne dotyczące przepływu, przechowywania i ochrony informacji.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Zasady gospodarki odpadami.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Zasady sporządzania dokumentów w jednostkach gospodarczych.</w:t>
            </w:r>
          </w:p>
          <w:p w:rsidR="00CF226D" w:rsidRDefault="00CF226D">
            <w:pPr>
              <w:pStyle w:val="lewytabela"/>
              <w:rPr>
                <w:lang w:val="pl-PL" w:eastAsia="en-US"/>
              </w:rPr>
            </w:pPr>
            <w:r>
              <w:rPr>
                <w:lang w:val="pl-PL" w:eastAsia="en-US"/>
              </w:rPr>
              <w:t>Przepisy i zasady dotyczące organizacji transportu pasażerskiego.</w:t>
            </w:r>
          </w:p>
          <w:p w:rsidR="00CF226D" w:rsidRDefault="00CF226D">
            <w:pPr>
              <w:autoSpaceDE w:val="0"/>
              <w:autoSpaceDN w:val="0"/>
              <w:adjustRightInd w:val="0"/>
              <w:ind w:left="-86"/>
              <w:rPr>
                <w:rFonts w:ascii="Calibri" w:hAnsi="Calibri" w:cs="Calibri"/>
                <w:sz w:val="18"/>
                <w:szCs w:val="18"/>
              </w:rPr>
            </w:pPr>
          </w:p>
          <w:p w:rsidR="00CF226D" w:rsidRDefault="00CF226D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  <w:p w:rsidR="00CF226D" w:rsidRDefault="00CF226D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Cs/>
                <w:sz w:val="18"/>
                <w:szCs w:val="18"/>
                <w:lang w:val="pl-PL"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A.30.2(4)2wyjaśnić funkcje i zadania magazynów w systemie logistycznym;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A.30.2(4)3 dobrać wyposażenie magazynu do przechowywanych materiałów;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A.30.2(4)4 scharakteryzować parametry decydujące o sposobie i czasie przechowywania materiałów;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A.30.2(4)5 dobrać temperaturę, wilgotność i czas przechowywania materiałów;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A.30.2(6)1 opisać zasady przyjęcia towarów do magazynu;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ind w:firstLine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A.30.2(6)3 opisać zasady rozmieszczenia towar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 magazynie zgodnie z systemem przechowywania zapasów;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A.30.2(6)3zaplanować wydanie towaru z magazynu;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ind w:firstLine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A.30.2(7)1zaplanować proces pakowania;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ind w:firstLine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A.30.2(7)2 zapakować produkty;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ind w:firstLine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A.30.2(7)5 zanalizować przepisy prawa dotyczące gospodarki opakowaniami;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A.30.2(9)1 ocenić gospodarowanie zapasami na podstawie mierników efektywności gospodarki materiałowej;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A.30.2(9)2 opracować wyniki oceny wskaźnikowej i procesowej pracy magazynu;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autoSpaceDE w:val="0"/>
              <w:autoSpaceDN w:val="0"/>
              <w:adjustRightInd w:val="0"/>
              <w:ind w:firstLine="3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A.30.2(9)2 opisać zasady odpowiedzialności pracowników magazynu za powierzone mienie;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3(2)2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wskazać czynniki decydujące o doborze kanału dystrybucji;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</w:t>
            </w:r>
            <w:r>
              <w:rPr>
                <w:rFonts w:ascii="Calibri" w:hAnsi="Calibri" w:cs="Calibri"/>
                <w:sz w:val="18"/>
                <w:szCs w:val="18"/>
              </w:rPr>
              <w:t>3(3)1wskazać czynniki decydujące o wyborze kontrahentów;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</w:t>
            </w:r>
            <w:r>
              <w:rPr>
                <w:rFonts w:ascii="Calibri" w:hAnsi="Calibri" w:cs="Calibri"/>
                <w:sz w:val="18"/>
                <w:szCs w:val="18"/>
              </w:rPr>
              <w:t>3(7)3 opisać mechanizm funkcjonowania centrów logistycznych;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</w:t>
            </w:r>
            <w:r>
              <w:rPr>
                <w:rFonts w:ascii="Calibri" w:hAnsi="Calibri" w:cs="Calibri"/>
                <w:sz w:val="18"/>
                <w:szCs w:val="18"/>
              </w:rPr>
              <w:t>3(9)3sporządzić dokumenty przewozowe dotyczące przepływu miedzy ogniwami kanału dystrybucji w języku polskim;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</w:t>
            </w:r>
            <w:r>
              <w:rPr>
                <w:rFonts w:ascii="Calibri" w:hAnsi="Calibri" w:cs="Calibri"/>
                <w:sz w:val="18"/>
                <w:szCs w:val="18"/>
              </w:rPr>
              <w:t>3(9)4sporządzić dokumenty handlowe dotyczące przepływu między kanałami dystrybucji;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A.30.</w:t>
            </w:r>
            <w:r>
              <w:rPr>
                <w:rFonts w:ascii="Calibri" w:hAnsi="Calibri" w:cs="Calibri"/>
                <w:sz w:val="18"/>
                <w:szCs w:val="18"/>
              </w:rPr>
              <w:t>3(9)5sprawdzić poprawność sporządzenia dokumentów;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A.31.1(2)2 scharakteryzować typowe środki transportu;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A.31.1(2)3 scharakteryzować środki transportu ładunków niebezpiecznych i specjalnych;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A.31.1(2)4 określić zagrożenia związane z transportem ładunków niebezpiecznych i specjalnych;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A.31.1(2)5 scharakteryzować techniczne wyposażenie magazynu oraz urządzenia przeładunkowe i manipulacyjne;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A.31.1(3)4 dobrać optymalne miejsca składowania i przeładunku;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A.31.1(3)5 rozróżnić czynności determinujące czas dostawy w różnych gałęziach transportu;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A.31.1(4)1 posłużyć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się mapami drogowymi i szlakami komunikacyjnymi podczas planowania przewozu osób i towarów;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A.32.1(6)1przygotować dokumenty związane z procesami logistycznymi w jednostce gospodarczej;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A.32.1(6)2sporządzić korespondencję handlową;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A.32.2(1)2zastosować normy i standardy elektronicznej wymiany danych;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  <w:tr w:rsidR="00CF226D" w:rsidTr="00CF226D">
        <w:trPr>
          <w:trHeight w:val="32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6D" w:rsidRDefault="00CF226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A.32.2(2) 1.opisać zasady komunikacji zbiorowej.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26D" w:rsidRDefault="00CF226D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</w:tr>
    </w:tbl>
    <w:p w:rsidR="00251B55" w:rsidRDefault="00251B55" w:rsidP="00605F8A">
      <w:pPr>
        <w:ind w:left="-284" w:firstLine="284"/>
      </w:pPr>
    </w:p>
    <w:sectPr w:rsidR="00251B55" w:rsidSect="00D95A34">
      <w:pgSz w:w="11906" w:h="16838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31E"/>
    <w:multiLevelType w:val="hybridMultilevel"/>
    <w:tmpl w:val="BA76DDF4"/>
    <w:lvl w:ilvl="0" w:tplc="2F2AA600">
      <w:start w:val="1"/>
      <w:numFmt w:val="bullet"/>
      <w:pStyle w:val="lewytabel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762B"/>
    <w:multiLevelType w:val="multilevel"/>
    <w:tmpl w:val="3D4ACDC8"/>
    <w:lvl w:ilvl="0">
      <w:start w:val="1"/>
      <w:numFmt w:val="decimal"/>
      <w:lvlText w:val="%1."/>
      <w:lvlJc w:val="left"/>
      <w:pPr>
        <w:ind w:left="786" w:hanging="360"/>
      </w:pPr>
      <w:rPr>
        <w:b/>
        <w:lang w:val="pl-P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2"/>
    <w:rsid w:val="000E7AB1"/>
    <w:rsid w:val="00251B55"/>
    <w:rsid w:val="00315D4E"/>
    <w:rsid w:val="00436E10"/>
    <w:rsid w:val="005D20F4"/>
    <w:rsid w:val="00605F8A"/>
    <w:rsid w:val="00661D59"/>
    <w:rsid w:val="00661EDB"/>
    <w:rsid w:val="00687364"/>
    <w:rsid w:val="00845BC7"/>
    <w:rsid w:val="00906455"/>
    <w:rsid w:val="009A4489"/>
    <w:rsid w:val="00A27617"/>
    <w:rsid w:val="00AE1426"/>
    <w:rsid w:val="00B35032"/>
    <w:rsid w:val="00B975DD"/>
    <w:rsid w:val="00C76277"/>
    <w:rsid w:val="00CF226D"/>
    <w:rsid w:val="00D95A34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605F8A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605F8A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605F8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05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rsid w:val="00605F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1Znak">
    <w:name w:val="Styl1 Znak"/>
    <w:link w:val="Styl1"/>
    <w:locked/>
    <w:rsid w:val="00605F8A"/>
    <w:rPr>
      <w:rFonts w:ascii="Times New Roman" w:eastAsia="Times New Roman" w:hAnsi="Times New Roman" w:cs="Times New Roman"/>
      <w:b/>
      <w:bCs/>
      <w:color w:val="000000"/>
      <w:szCs w:val="24"/>
      <w:lang w:val="x-none"/>
    </w:rPr>
  </w:style>
  <w:style w:type="paragraph" w:customStyle="1" w:styleId="Styl1">
    <w:name w:val="Styl1"/>
    <w:basedOn w:val="Normalny"/>
    <w:link w:val="Styl1Znak"/>
    <w:qFormat/>
    <w:rsid w:val="00605F8A"/>
    <w:pPr>
      <w:keepNext/>
      <w:numPr>
        <w:numId w:val="1"/>
      </w:numPr>
      <w:spacing w:before="240" w:after="120"/>
      <w:ind w:left="425" w:hanging="357"/>
      <w:jc w:val="both"/>
      <w:outlineLvl w:val="2"/>
    </w:pPr>
    <w:rPr>
      <w:b/>
      <w:bCs/>
      <w:color w:val="000000"/>
      <w:sz w:val="22"/>
      <w:lang w:val="x-none" w:eastAsia="en-US"/>
    </w:rPr>
  </w:style>
  <w:style w:type="character" w:customStyle="1" w:styleId="lewytabelaZnak">
    <w:name w:val="lewy tabela Znak"/>
    <w:link w:val="lewytabela"/>
    <w:locked/>
    <w:rsid w:val="00605F8A"/>
    <w:rPr>
      <w:rFonts w:ascii="Times New Roman" w:eastAsia="Times New Roman" w:hAnsi="Times New Roman" w:cs="Calibri"/>
      <w:bCs/>
      <w:sz w:val="18"/>
      <w:szCs w:val="18"/>
      <w:lang w:val="x-none" w:eastAsia="x-none"/>
    </w:rPr>
  </w:style>
  <w:style w:type="paragraph" w:customStyle="1" w:styleId="lewytabela">
    <w:name w:val="lewy tabela"/>
    <w:basedOn w:val="Akapitzlist"/>
    <w:link w:val="lewytabelaZnak"/>
    <w:qFormat/>
    <w:rsid w:val="00605F8A"/>
    <w:pPr>
      <w:numPr>
        <w:numId w:val="2"/>
      </w:numPr>
      <w:spacing w:after="0" w:line="240" w:lineRule="auto"/>
    </w:pPr>
    <w:rPr>
      <w:rFonts w:ascii="Times New Roman" w:eastAsia="Times New Roman" w:hAnsi="Times New Roman" w:cs="Calibr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rsid w:val="00605F8A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605F8A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605F8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05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customStyle="1" w:styleId="Default">
    <w:name w:val="Default"/>
    <w:rsid w:val="00605F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1Znak">
    <w:name w:val="Styl1 Znak"/>
    <w:link w:val="Styl1"/>
    <w:locked/>
    <w:rsid w:val="00605F8A"/>
    <w:rPr>
      <w:rFonts w:ascii="Times New Roman" w:eastAsia="Times New Roman" w:hAnsi="Times New Roman" w:cs="Times New Roman"/>
      <w:b/>
      <w:bCs/>
      <w:color w:val="000000"/>
      <w:szCs w:val="24"/>
      <w:lang w:val="x-none"/>
    </w:rPr>
  </w:style>
  <w:style w:type="paragraph" w:customStyle="1" w:styleId="Styl1">
    <w:name w:val="Styl1"/>
    <w:basedOn w:val="Normalny"/>
    <w:link w:val="Styl1Znak"/>
    <w:qFormat/>
    <w:rsid w:val="00605F8A"/>
    <w:pPr>
      <w:keepNext/>
      <w:numPr>
        <w:numId w:val="1"/>
      </w:numPr>
      <w:spacing w:before="240" w:after="120"/>
      <w:ind w:left="425" w:hanging="357"/>
      <w:jc w:val="both"/>
      <w:outlineLvl w:val="2"/>
    </w:pPr>
    <w:rPr>
      <w:b/>
      <w:bCs/>
      <w:color w:val="000000"/>
      <w:sz w:val="22"/>
      <w:lang w:val="x-none" w:eastAsia="en-US"/>
    </w:rPr>
  </w:style>
  <w:style w:type="character" w:customStyle="1" w:styleId="lewytabelaZnak">
    <w:name w:val="lewy tabela Znak"/>
    <w:link w:val="lewytabela"/>
    <w:locked/>
    <w:rsid w:val="00605F8A"/>
    <w:rPr>
      <w:rFonts w:ascii="Times New Roman" w:eastAsia="Times New Roman" w:hAnsi="Times New Roman" w:cs="Calibri"/>
      <w:bCs/>
      <w:sz w:val="18"/>
      <w:szCs w:val="18"/>
      <w:lang w:val="x-none" w:eastAsia="x-none"/>
    </w:rPr>
  </w:style>
  <w:style w:type="paragraph" w:customStyle="1" w:styleId="lewytabela">
    <w:name w:val="lewy tabela"/>
    <w:basedOn w:val="Akapitzlist"/>
    <w:link w:val="lewytabelaZnak"/>
    <w:qFormat/>
    <w:rsid w:val="00605F8A"/>
    <w:pPr>
      <w:numPr>
        <w:numId w:val="2"/>
      </w:numPr>
      <w:spacing w:after="0" w:line="240" w:lineRule="auto"/>
    </w:pPr>
    <w:rPr>
      <w:rFonts w:ascii="Times New Roman" w:eastAsia="Times New Roman" w:hAnsi="Times New Roman" w:cs="Calibr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KIEROWNIK</cp:lastModifiedBy>
  <cp:revision>3</cp:revision>
  <dcterms:created xsi:type="dcterms:W3CDTF">2014-11-20T16:09:00Z</dcterms:created>
  <dcterms:modified xsi:type="dcterms:W3CDTF">2014-11-20T16:09:00Z</dcterms:modified>
</cp:coreProperties>
</file>